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12 116 vom 11. Juli 2012</w:t>
      </w:r>
    </w:p>
    <w:p>
      <w:r>
        <w:t>VS Kantonsgericht, 2012-07-11, FR</w:t>
      </w:r>
    </w:p>
    <w:p>
      <w:r>
        <w:rPr>
          <w:b/>
        </w:rPr>
        <w:t xml:space="preserve">Quelle: </w:t>
      </w:r>
      <w:r>
        <w:t>https://mcp.opencaselaw.ch/entscheid/vs_gerichte_P3 12 116</w:t>
      </w:r>
    </w:p>
    <w:p>
      <w:r>
        <w:t>FR: VS_GERICHTE P3 12 116 du 11 juillet 2012</w:t>
      </w:r>
    </w:p>
    <w:p>
      <w:r>
        <w:t>IT: VS_GERICHTE P3 12 116 del 11 luglio 2012</w:t>
      </w:r>
    </w:p>
    <w:p>
      <w:pPr>
        <w:pStyle w:val="Heading2"/>
      </w:pPr>
      <w:r>
        <w:t>Regeste</w:t>
      </w:r>
    </w:p>
    <w:p>
      <w:r>
        <w:t>P3 12 116 ORDONNANCE DU 11 JUILLET 2012 Tribunal cantonal du Valais Chambre pénale Jean-Pierre Derivaz, juge unique ; Frédéric Carron, greffier en la cause X__________, recourant, représenté par Maître A__________ contre l'ordonnance rendue le 19 juin 2012 par le Tribunal des mesures de contrainte, à Sion (détention provisoire ; art. 226 CPP ; mesures de substitution ; art. 237 CPP)</w:t>
      </w:r>
    </w:p>
    <w:p>
      <w:pPr>
        <w:pStyle w:val="Heading2"/>
      </w:pPr>
      <w:r>
        <w:t>Erwägungen</w:t>
      </w:r>
    </w:p>
    <w:p>
      <w:r>
        <w:rPr>
          <w:b/>
        </w:rPr>
        <w:t>E. 6</w:t>
      </w:r>
    </w:p>
    <w:p>
      <w:r>
        <w:t>et 20 ad art. 385 CPP), l’autorité de recours examine seulement les griefs qui sont soulevés. 1.2 En l’espèce, X__________ a qualité pour recourir, dès lors qu’il est prévenu (art. 104 al. 1 let. a et 111 al. 1 CPP) et détenu (art. 222 CPP) et qu’il a un intérêt juridiquement protégé à l’annulation du prononcé ordonnant sa détention provisoire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 2. Le recourant invoque la nullité de la décision sur mesures de substitution du 14 mai 2012. 2.1.1 Il est de jurisprudence constante que l’incompétence qualifiée, notamment fonctionnelle et matérielle, de l’autorité qui s’est prononcée est un motif de nullité absolue, qui doit être constaté d’office, en tout temps et par toute autorité (ATF 132 II 21 consid. 3.1 ; 130 III 430 consid. 3.3 ; 129 I 361 consid. 2.1 ; 122 I 97 consid. 3a/aa ; 118 Ia 336 consid. 2a ; 116 Ia 215 consid. 2c ; pour la compétence matérielle cf. arrêts 5C.92/2001 du 28 août 2001 consid. 5d ; 8C_816/2007 du 11 novembre 2008 consid. 5.3 ; RVJ 2009 p. 313 consid. 3 e ; 2004 p. 125 consid. 1). 2.1.2 En vertu de l’art. 228 al. 1 CPP, le prévenu peut présenter en tout temps, par écrit ou oralement pour mention au procès-verbal, une demande de mise en liberté au ministère public, sous réserve de l’al. 5. Selon l’al. 2, si le ministère public répond favorablement à la demande du prévenu, il ordonne sa libération immédiate. S’il n’entend pas donner une suite favorable à la demande, il la transmet au tribunal des mesures de contrainte au plus tard dans les trois jours à compter de sa réception, en y joignant une prise de position motivée. Cette disposition ne mentionne pas la possibilité pour le ministère public d’ordonner la libération immédiate du prévenu sous conditions. Selon l’art. 237 al. 1 CPP, le tribunal compétent ordonne une ou plusieurs mesures moins sévères en lieu et place de la détention provisoire ou de la détention pour des motifs de sûreté si ces mesures permettent d’atteindre le même but que la détention. Les tribunaux compétents sont le tribunal des mesures de contrainte, le tribunal de première instance ou le tribunal d’appel selon les cas. Le ministère public peut ainsi uniquement faire des propositions, sans disposer d’aucun pouvoir décisionnel en la matière. Cette répartition des compétences étant problématique lorsque les conditions pour prononcer des mesures de substitution sont données, la doctrine propose que le ministère public prenne deux conclusions devant le tribunal des mesures de contrainte : principalement, ordonner la mise en détention provisoire et, subsidiairement, ordonner les mesures de substitution qu’il estimera appropriées</w:t>
      </w:r>
    </w:p>
    <w:p>
      <w:r>
        <w:t>- 5 - (Hansjakob, Zwangsmassnahmen in der neuen Eidg. StPO, in RPS 2008 p. 102 ; Schmocker, Commentaire romand, n. 4 ad art. 237 CPP). 2.2 En l’espèce, dès lors que des mesures de substitution pouvaient être prononcées, il appartenait au procureur de transmettre au TMC la requête de mise en liberté du prévenu du 9 mai 2012, en prenant les deux conclusions citées ci-dessus. L’incompétence qualifiée du procureur pour prononcer des mesures de substitution entraîne ainsi la nullité de la décision du 14 mai 2012. Le prévenu ne peut, partant, invoquer ce prononcé pour faire valoir qu’il a été libéré sans conditions. Au demeurant, sa détention actuelle repose sur une nouvelle décision de mise en détention provisoire rendue par le TMC sur requête du procureur, conformément à l’art. 224 al. 2 CPP. C’est donc la validité de cette ordonnance du 19 juin 2012 qui doit être examinée. 3. Le recourant ne conteste pas la réalisation de la première condition de sa mise en détention, à savoir l’existence de graves soupçons de commission de crimes ou de délits. Il estime, en revanche, que, à défaut de commission de nouvelles infractions durant sa libération, le risque de récidive ne peut pas être retenu. 3.1 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consid. 4.5 ; 135 I 71 consid. 2.3 ; 133 I 270 consid. 2.2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arrêt 1B_731/2011 du 16 janvier 2012 consid. 3.1). 3.2 En l’espèce, sur ce point, l’autorité attaquée a renvoyé à l’argumentation de sa précédente décision du 17 février 2012 (cf. consid. 6.2), confirmée par la chambre pénale le 12 avril 2012 (cf. consid. 3.2). Elle a ajouté que le fait que le prévenu n’avait pas respecté certaines des mesures de substitution imposées par le procureur démontrait qu’il était incapable de se soumettre à un quelconque cadre. Ces considérations sont fondées. En effet, même si les mesures de substitution doivent être considérées comme illégales, il n’en demeure pas moins que, dans les faits, le recourant a enfreint des règles qu’il avait lui-même proposées et qu’il s’était</w:t>
      </w:r>
    </w:p>
    <w:p>
      <w:r>
        <w:t>- 6 - engagé à respecter. Il n’a ainsi pas été à même de se conformer aux mesures qu’il avait choisies, propres à atteindre, selon lui, le résultat voulu. Ce n’est pas la première fois que le prévenu est confronté aux conséquences judiciaires de son comportement. Ses antécédents, la gravité des infractions dont il est soupçonné, leur répétition et l’absence de prise de conscience constituent des raisons sérieuses de redouter qu'il ne passe à nouveau à l'acte en cas de remise en liberté. Le risque de récidive au sens de l'art. 221 al. 1 let. c CPP demeure dès lors bien réel. Enfin, le comportement du recourant démontre clairement son absence de volonté de se soumettre à des mesures de substitution même s’il les a proposées, voire son incapacité à le faire. Le TMC n’avait dès lors pas à examiner spécifiquement si de telles mesures pouvaient être ordonnées. Il l’a fait au demeurant implicitement en considérant que, désormais, seule la détention provisoire était à même d’éliminer le risque de récidive, point de vue auquel le juge de céans se rallie. Dans ces circonstances, et sous réserve de l’examen des conclusions afférentes au risque de réitération selon l'expertise psychiatrique ordonnée par le ministère public, la mise en détention du recourant doit être confirmée et le recours rejeté. 4. Comme X__________ succombe,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oscille entre 90 fr. et 2 000 fr. (art. 22 let. g LTar). En l’occurrence, eu égard à la complexité moyenne de l’affaire, il est arrêté forfaitairement à 400 fr. (art. 424 al. 2 CPP et 11 LTar).</w:t>
      </w:r>
    </w:p>
    <w:p>
      <w:r>
        <w:t>Prononce</w:t>
      </w:r>
    </w:p>
    <w:p>
      <w:r>
        <w:t>1. Il est constaté que la décision rendue le 14 mai 2012 par le procureur de l’Office régional du ministère public de B__________ est nulle. 2. Le recours est rejeté et l’ordonnance du 19 juin 2012 du TMC confirmée. 3. Les frais de la procédure de recours, par 400 francs, sont mis à la charge de X__________.</w:t>
      </w:r>
    </w:p>
    <w:p>
      <w:r>
        <w:t>Sion, le 11 juillet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